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Marianne" w:hAnsi="Marianne"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3893185</wp:posOffset>
                </wp:positionH>
                <wp:positionV relativeFrom="page">
                  <wp:posOffset>612140</wp:posOffset>
                </wp:positionV>
                <wp:extent cx="2379980" cy="76009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240" cy="7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right"/>
                              <w:rPr>
                                <w:rFonts w:ascii="Marianne Medium" w:hAnsi="Marianne Medium"/>
                              </w:rPr>
                            </w:pPr>
                            <w:r>
                              <w:rPr>
                                <w:rFonts w:ascii="Marianne Medium" w:hAnsi="Marianne Medium"/>
                                <w:color w:val="00000A"/>
                              </w:rPr>
                              <w:t>PRÉFECTURE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right"/>
                              <w:rPr>
                                <w:rFonts w:ascii="Marianne Medium" w:hAnsi="Marianne Medium"/>
                              </w:rPr>
                            </w:pPr>
                            <w:r>
                              <w:rPr>
                                <w:rFonts w:ascii="Marianne Medium" w:hAnsi="Marianne Medium"/>
                                <w:color w:val="00000A"/>
                              </w:rPr>
                              <w:t>Mission politique de la ville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right"/>
                              <w:rPr>
                                <w:rFonts w:ascii="Marianne Medium" w:hAnsi="Marianne Medium"/>
                              </w:rPr>
                            </w:pPr>
                            <w:r>
                              <w:rPr>
                                <w:rFonts w:ascii="Marianne Medium" w:hAnsi="Marianne Medium"/>
                                <w:color w:val="00000A"/>
                              </w:rPr>
                              <w:t>et habitat indigne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306.55pt;margin-top:48.2pt;width:187.3pt;height:59.75pt;mso-position-vertical-relative:page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right"/>
                        <w:rPr>
                          <w:rFonts w:ascii="Marianne Medium" w:hAnsi="Marianne Medium"/>
                        </w:rPr>
                      </w:pPr>
                      <w:r>
                        <w:rPr>
                          <w:rFonts w:ascii="Marianne Medium" w:hAnsi="Marianne Medium"/>
                          <w:color w:val="00000A"/>
                        </w:rPr>
                        <w:t>PRÉFECTURE</w:t>
                      </w:r>
                    </w:p>
                    <w:p>
                      <w:pPr>
                        <w:pStyle w:val="Contenudecadre"/>
                        <w:spacing w:before="0" w:after="0"/>
                        <w:jc w:val="right"/>
                        <w:rPr>
                          <w:rFonts w:ascii="Marianne Medium" w:hAnsi="Marianne Medium"/>
                        </w:rPr>
                      </w:pPr>
                      <w:r>
                        <w:rPr>
                          <w:rFonts w:ascii="Marianne Medium" w:hAnsi="Marianne Medium"/>
                          <w:color w:val="00000A"/>
                        </w:rPr>
                        <w:t>Mission politique de la ville</w:t>
                      </w:r>
                    </w:p>
                    <w:p>
                      <w:pPr>
                        <w:pStyle w:val="Contenudecadre"/>
                        <w:spacing w:before="0" w:after="0"/>
                        <w:jc w:val="right"/>
                        <w:rPr>
                          <w:rFonts w:ascii="Marianne Medium" w:hAnsi="Marianne Medium"/>
                        </w:rPr>
                      </w:pPr>
                      <w:r>
                        <w:rPr>
                          <w:rFonts w:ascii="Marianne Medium" w:hAnsi="Marianne Medium"/>
                          <w:color w:val="00000A"/>
                        </w:rPr>
                        <w:t>et habitat indigne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9380" simplePos="0" locked="0" layoutInCell="1" allowOverlap="1" relativeHeight="12">
            <wp:simplePos x="0" y="0"/>
            <wp:positionH relativeFrom="column">
              <wp:posOffset>-71120</wp:posOffset>
            </wp:positionH>
            <wp:positionV relativeFrom="page">
              <wp:posOffset>485140</wp:posOffset>
            </wp:positionV>
            <wp:extent cx="1195705" cy="1502410"/>
            <wp:effectExtent l="0" t="0" r="0" b="0"/>
            <wp:wrapNone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Marianne Light" w:hAnsi="Marianne Light"/>
          <w:sz w:val="24"/>
          <w:szCs w:val="24"/>
        </w:rPr>
      </w:pPr>
      <w:r>
        <w:rPr>
          <w:rFonts w:ascii="Marianne Light" w:hAnsi="Marianne Light"/>
          <w:sz w:val="24"/>
          <w:szCs w:val="24"/>
        </w:rPr>
      </w:r>
    </w:p>
    <w:p>
      <w:pPr>
        <w:pStyle w:val="Normal"/>
        <w:jc w:val="center"/>
        <w:rPr>
          <w:rFonts w:ascii="Marianne Light" w:hAnsi="Marianne Light"/>
          <w:sz w:val="24"/>
          <w:szCs w:val="24"/>
        </w:rPr>
      </w:pPr>
      <w:r>
        <w:rPr>
          <w:rFonts w:ascii="Marianne Light" w:hAnsi="Marianne Light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both"/>
        <w:rPr>
          <w:rFonts w:ascii="Marianne" w:hAnsi="Marianne"/>
          <w:b/>
          <w:b/>
          <w:bCs/>
          <w:sz w:val="20"/>
          <w:szCs w:val="20"/>
          <w:u w:val="none"/>
        </w:rPr>
      </w:pPr>
      <w:r>
        <w:rPr>
          <w:rFonts w:ascii="Marianne" w:hAnsi="Marianne"/>
          <w:b/>
          <w:bCs/>
          <w:sz w:val="20"/>
          <w:szCs w:val="20"/>
          <w:u w:val="none"/>
        </w:rPr>
      </w:r>
    </w:p>
    <w:p>
      <w:pPr>
        <w:pStyle w:val="Normal"/>
        <w:jc w:val="center"/>
        <w:rPr>
          <w:rFonts w:ascii="Marianne" w:hAnsi="Marianne"/>
          <w:b/>
          <w:b/>
          <w:bCs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>Appel à projets Quartiers d’été 2021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160"/>
        <w:jc w:val="both"/>
        <w:rPr/>
      </w:pPr>
      <w:r>
        <w:rPr>
          <w:rFonts w:ascii="Marianne" w:hAnsi="Marianne"/>
          <w:b w:val="false"/>
          <w:bCs w:val="false"/>
          <w:sz w:val="20"/>
          <w:szCs w:val="20"/>
          <w:u w:val="none"/>
        </w:rPr>
        <w:t>A la suite des engagements du Président de la République, le Gouvernement a décidé de reconduire les »Quartiers d’été » pour l’été 2021. Activités sportives et culturelles, actions en faveur de l’insertion, stages de réussite, écoles ouvertes et « colos apprenantes » : tous les jeunes des quartiers doivent pouvoir trouver des activités qui leur conviennent cet été. Un démarrage des actions est prévu au début du mois de juillet.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plan "Quartiers d'été 2021" a pour ambition de faire de la prochaine période estivale, un temps utile et ludique pour les habitants des quartiers prioritaires. </w:t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Plan "Quartiers d'été 2021" repose sur trois grandes orientations nationales 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Marianne" w:hAnsi="Marianne"/>
          <w:sz w:val="20"/>
          <w:szCs w:val="20"/>
        </w:rPr>
        <w:t>un temps de respiration, de divertissement et de découverte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Marianne" w:hAnsi="Marianne"/>
          <w:sz w:val="20"/>
          <w:szCs w:val="20"/>
        </w:rPr>
        <w:t>un temps de préparation et d’accompagnement à l’après-covid</w:t>
      </w:r>
    </w:p>
    <w:p>
      <w:pPr>
        <w:pStyle w:val="Normal"/>
        <w:numPr>
          <w:ilvl w:val="0"/>
          <w:numId w:val="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un temps de rencontres et de renforcement du lien social</w:t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 six grands axes :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développer les offres de formations et les dispositifs d'accès à l'emploi ; 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favoriser le dispositif "vacances apprenantes" ; 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renforcer la présence des services publics et des professionnels de terrain ; 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conforter et / ou recréer des relations de confiance entre la population et les forces de sécurité ; 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valoriser les actions de solidarité ; 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renforcer la culture et le sport dans les quartiers. </w:t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actions doivent s'adresser en priorité aux jeunes de moins de 25 ans des quartiers prioritaires mais peuvent également bénéficier à un public jeune résidant autour de ces quartiers dans un objectif de mixité géographique. Une action intergénérationnelle plaçant les jeunes au cœur du projet est également éligible.</w:t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Ces actions peuvent être portées par des collectivités locales ou des associations. </w:t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Corpsdetexte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Une attention particulière sera portée aux projets proposant notamment :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des rencontres et activités inter-quartiers afin de prévenir des phénomènes de rixes qui ont tout particulièrement marqué les derniers mois</w:t>
      </w:r>
    </w:p>
    <w:p>
      <w:pPr>
        <w:pStyle w:val="Normal"/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des activités aussi en soirée et les week-ends afin de permettre au plus grand nombre de bénéficier des Quartiers d’été mais aussi d’animer l’espace public durant ces périodes</w:t>
      </w:r>
    </w:p>
    <w:p>
      <w:pPr>
        <w:pStyle w:val="Normal"/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des activités mixtes et intergénérationnelles mais aussi dédiées aux jeunes filles, aux femmes et aux familles qui sont souvent moins bénéficiaires des activités proposées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160"/>
        <w:jc w:val="both"/>
        <w:rPr>
          <w:rFonts w:ascii="Marianne" w:hAnsi="Marianne"/>
          <w:sz w:val="20"/>
        </w:rPr>
      </w:pPr>
      <w:r>
        <w:rPr>
          <w:rFonts w:ascii="Marianne" w:hAnsi="Marianne"/>
          <w:b w:val="false"/>
          <w:bCs w:val="false"/>
          <w:sz w:val="20"/>
          <w:szCs w:val="20"/>
          <w:u w:val="none"/>
        </w:rPr>
        <w:t>Les grandes orientations du dispositif Quartiers d’été sont détaillées dans l’annexe jointe : catalogue des dispositifs mobilisables pour « Quartiers d’été 2021 ».</w:t>
      </w:r>
    </w:p>
    <w:p>
      <w:pPr>
        <w:pStyle w:val="Normal"/>
        <w:spacing w:before="0" w:after="0"/>
        <w:rPr>
          <w:rFonts w:ascii="serif" w:hAnsi="serif"/>
          <w:sz w:val="27"/>
        </w:rPr>
      </w:pPr>
      <w:r>
        <w:rPr>
          <w:rFonts w:ascii="serif" w:hAnsi="serif"/>
          <w:sz w:val="27"/>
        </w:rPr>
      </w:r>
    </w:p>
    <w:p>
      <w:pPr>
        <w:pStyle w:val="Normal"/>
        <w:spacing w:before="0" w:after="0"/>
        <w:jc w:val="both"/>
        <w:rPr>
          <w:rFonts w:ascii="Marianne" w:hAnsi="Marianne"/>
          <w:color w:val="CE181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Ce second appel à projets est lancé car il reste des crédits disponibles permettant de financer des actions innovantes à destination des jeunes pendant l’été 2021 malgré le contexte sanitaire actuel qui a pu conduire certaines associations à s’autocensurer et à ne pas déposer de demande de subvention.</w:t>
      </w:r>
    </w:p>
    <w:p>
      <w:pPr>
        <w:pStyle w:val="Normal"/>
        <w:spacing w:before="0" w:after="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Marianne" w:hAnsi="Marianne"/>
          <w:color w:val="000000"/>
          <w:sz w:val="20"/>
          <w:szCs w:val="20"/>
        </w:rPr>
        <w:t xml:space="preserve">Si </w:t>
      </w:r>
      <w:r>
        <w:rPr>
          <w:rFonts w:ascii="Marianne" w:hAnsi="Marianne"/>
          <w:color w:val="000000"/>
          <w:sz w:val="20"/>
          <w:szCs w:val="20"/>
        </w:rPr>
        <w:t xml:space="preserve">les organisateurs des manifestations sont responsables de la sécurité de ces évènements et </w:t>
      </w:r>
      <w:r>
        <w:rPr>
          <w:rFonts w:ascii="Marianne" w:hAnsi="Marianne"/>
          <w:color w:val="000000"/>
          <w:sz w:val="20"/>
          <w:szCs w:val="20"/>
        </w:rPr>
        <w:t xml:space="preserve">du contrôle du </w:t>
      </w:r>
      <w:r>
        <w:rPr>
          <w:rFonts w:ascii="Marianne" w:hAnsi="Marianne"/>
          <w:color w:val="000000"/>
          <w:sz w:val="20"/>
          <w:szCs w:val="20"/>
        </w:rPr>
        <w:t xml:space="preserve">pass sanitaires </w:t>
      </w:r>
      <w:r>
        <w:rPr>
          <w:rFonts w:ascii="Marianne" w:hAnsi="Marianne"/>
          <w:color w:val="000000"/>
          <w:sz w:val="20"/>
          <w:szCs w:val="20"/>
        </w:rPr>
        <w:t xml:space="preserve">pour tout </w:t>
      </w:r>
      <w:r>
        <w:rPr>
          <w:rFonts w:ascii="Marianne" w:hAnsi="Marianne"/>
          <w:color w:val="000000"/>
          <w:sz w:val="20"/>
          <w:szCs w:val="20"/>
        </w:rPr>
        <w:t xml:space="preserve">évènement </w:t>
      </w:r>
      <w:r>
        <w:rPr>
          <w:rFonts w:ascii="Marianne" w:hAnsi="Marianne"/>
          <w:color w:val="000000"/>
          <w:sz w:val="20"/>
          <w:szCs w:val="20"/>
        </w:rPr>
        <w:t xml:space="preserve">culturel, festif, sportif ou ludique </w:t>
      </w:r>
      <w:r>
        <w:rPr>
          <w:rFonts w:ascii="Marianne" w:hAnsi="Marianne"/>
          <w:color w:val="000000"/>
          <w:sz w:val="20"/>
          <w:szCs w:val="20"/>
        </w:rPr>
        <w:t xml:space="preserve">de plus de 50 personnes </w:t>
      </w:r>
      <w:r>
        <w:rPr>
          <w:rFonts w:ascii="Marianne" w:hAnsi="Marianne"/>
          <w:color w:val="000000"/>
          <w:sz w:val="20"/>
          <w:szCs w:val="20"/>
        </w:rPr>
        <w:t>en lieu clos, ou au sein d’un espace ouvert au public et susceptible de donner lieu à un contrôle de l’accès des personnes, le</w:t>
      </w:r>
      <w:r>
        <w:rPr>
          <w:rFonts w:ascii="Marianne" w:hAnsi="Marianne"/>
          <w:color w:val="000000"/>
          <w:sz w:val="20"/>
          <w:szCs w:val="20"/>
        </w:rPr>
        <w:t>s surcoûts d’organisation pourront faire l’objet d’une demande de financement supplémentaire dans à intégrer dans le dossier de demande de subvention.</w:t>
      </w:r>
    </w:p>
    <w:p>
      <w:pPr>
        <w:pStyle w:val="Normal"/>
        <w:spacing w:before="0" w:after="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Marianne" w:hAnsi="Marianne"/>
          <w:color w:val="000000"/>
          <w:sz w:val="20"/>
          <w:szCs w:val="20"/>
        </w:rPr>
        <w:t>U</w:t>
      </w:r>
      <w:r>
        <w:rPr>
          <w:rFonts w:ascii="Marianne" w:hAnsi="Marianne"/>
          <w:color w:val="000000"/>
          <w:sz w:val="20"/>
          <w:szCs w:val="20"/>
        </w:rPr>
        <w:t>ne foire aux questions (FAQ) sera bientôt à disposition des associations.</w:t>
      </w:r>
    </w:p>
    <w:p>
      <w:pPr>
        <w:pStyle w:val="Normal"/>
        <w:spacing w:before="0" w:after="0"/>
        <w:rPr>
          <w:rFonts w:ascii="Marianne" w:hAnsi="Marianne"/>
          <w:b w:val="false"/>
          <w:b w:val="false"/>
          <w:bCs w:val="false"/>
          <w:color w:val="000000"/>
          <w:u w:val="none"/>
        </w:rPr>
      </w:pPr>
      <w:r>
        <w:rPr>
          <w:rFonts w:ascii="Marianne" w:hAnsi="Marianne"/>
          <w:b w:val="false"/>
          <w:bCs w:val="false"/>
          <w:color w:val="000000"/>
          <w:u w:val="none"/>
        </w:rPr>
      </w:r>
    </w:p>
    <w:p>
      <w:pPr>
        <w:pStyle w:val="Normal"/>
        <w:spacing w:before="0" w:after="1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bCs/>
          <w:color w:val="000000"/>
          <w:sz w:val="20"/>
          <w:szCs w:val="20"/>
          <w:u w:val="none"/>
        </w:rPr>
        <w:t xml:space="preserve">MODALITÉS DE DÉPÔT </w:t>
      </w:r>
    </w:p>
    <w:p>
      <w:pPr>
        <w:pStyle w:val="Normal"/>
        <w:spacing w:before="0" w:after="160"/>
        <w:jc w:val="both"/>
        <w:rPr>
          <w:color w:val="000000"/>
        </w:rPr>
      </w:pPr>
      <w:r>
        <w:rPr>
          <w:rFonts w:ascii="Marianne" w:hAnsi="Marianne"/>
          <w:b/>
          <w:bCs/>
          <w:color w:val="000000"/>
          <w:sz w:val="20"/>
          <w:szCs w:val="20"/>
          <w:u w:val="none"/>
        </w:rPr>
        <w:t>Calendrier de l’appel à projets « Quartiers d’été 2021 »</w:t>
      </w:r>
    </w:p>
    <w:p>
      <w:pPr>
        <w:pStyle w:val="Normal"/>
        <w:numPr>
          <w:ilvl w:val="0"/>
          <w:numId w:val="4"/>
        </w:numPr>
        <w:spacing w:before="0" w:after="160"/>
        <w:jc w:val="both"/>
        <w:rPr>
          <w:color w:val="000000"/>
        </w:rPr>
      </w:pPr>
      <w:r>
        <w:rPr>
          <w:rFonts w:ascii="Marianne" w:hAnsi="Marianne"/>
          <w:b/>
          <w:bCs/>
          <w:color w:val="000000"/>
          <w:sz w:val="20"/>
          <w:szCs w:val="20"/>
          <w:u w:val="none"/>
        </w:rPr>
        <w:t>27</w:t>
      </w:r>
      <w:r>
        <w:rPr>
          <w:rFonts w:ascii="Marianne" w:hAnsi="Marianne"/>
          <w:b/>
          <w:bCs/>
          <w:color w:val="000000"/>
          <w:sz w:val="20"/>
          <w:szCs w:val="20"/>
          <w:u w:val="none"/>
        </w:rPr>
        <w:t xml:space="preserve"> juillet 2021 </w:t>
      </w:r>
      <w:r>
        <w:rPr>
          <w:rFonts w:ascii="Marianne" w:hAnsi="Marianne"/>
          <w:b w:val="false"/>
          <w:bCs w:val="false"/>
          <w:color w:val="000000"/>
          <w:sz w:val="20"/>
          <w:szCs w:val="20"/>
          <w:u w:val="none"/>
        </w:rPr>
        <w:t>: Lancement de l’appel à projets</w:t>
      </w:r>
    </w:p>
    <w:p>
      <w:pPr>
        <w:pStyle w:val="Normal"/>
        <w:numPr>
          <w:ilvl w:val="0"/>
          <w:numId w:val="4"/>
        </w:numPr>
        <w:spacing w:before="0" w:after="160"/>
        <w:jc w:val="both"/>
        <w:rPr>
          <w:color w:val="000000"/>
        </w:rPr>
      </w:pPr>
      <w:r>
        <w:rPr>
          <w:rFonts w:ascii="Marianne" w:hAnsi="Marianne"/>
          <w:b/>
          <w:bCs/>
          <w:color w:val="000000"/>
          <w:sz w:val="20"/>
          <w:szCs w:val="20"/>
          <w:u w:val="none"/>
        </w:rPr>
        <w:t>9</w:t>
      </w:r>
      <w:r>
        <w:rPr>
          <w:rFonts w:ascii="Marianne" w:hAnsi="Marianne"/>
          <w:b/>
          <w:bCs/>
          <w:color w:val="000000"/>
          <w:sz w:val="20"/>
          <w:szCs w:val="20"/>
          <w:u w:val="none"/>
        </w:rPr>
        <w:t xml:space="preserve"> août 2021</w:t>
      </w:r>
      <w:r>
        <w:rPr>
          <w:rFonts w:ascii="Marianne" w:hAnsi="Marianne"/>
          <w:b w:val="false"/>
          <w:bCs w:val="false"/>
          <w:color w:val="000000"/>
          <w:sz w:val="20"/>
          <w:szCs w:val="20"/>
          <w:u w:val="none"/>
        </w:rPr>
        <w:t> : Date limite de saisie des demandes de subvention dans DAUPHIN</w:t>
      </w:r>
    </w:p>
    <w:p>
      <w:pPr>
        <w:pStyle w:val="Normal"/>
        <w:spacing w:before="0" w:after="16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L’accès au Portail DAUPHIN pour saisie en ligne de la demande de subvention s’effectue à partir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sur le site institutionnel de l’ANCT : https://usager-dauphin.cget.gouv.fr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Les demandes de subvention devront être saisies dans Dauphin, sous la rubrique </w:t>
      </w:r>
    </w:p>
    <w:p>
      <w:pPr>
        <w:pStyle w:val="Normal"/>
        <w:spacing w:before="0" w:after="0"/>
        <w:rPr>
          <w:rFonts w:ascii="Marianne" w:hAnsi="Marianne"/>
          <w:b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HORS CONTRAT DE VILLE 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 libellées sous l’intitulé :</w:t>
      </w:r>
    </w:p>
    <w:p>
      <w:pPr>
        <w:pStyle w:val="Normal"/>
        <w:spacing w:before="0" w:after="0"/>
        <w:rPr>
          <w:rFonts w:ascii="Marianne" w:hAnsi="Marianne"/>
          <w:b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QUARTIERS d’ETE- 2021 -titre de l’action.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Les besoins de financement doivent être exprimés auprès de l’État en sélectionnant dans la 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rubrique relative au budget du projet : </w:t>
      </w:r>
    </w:p>
    <w:p>
      <w:pPr>
        <w:pStyle w:val="Normal"/>
        <w:spacing w:before="0" w:after="0"/>
        <w:rPr>
          <w:rFonts w:ascii="Marianne" w:hAnsi="Marianne"/>
          <w:b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04 - ETAT - POLITIQUE DE LA VILLE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Dans le dossier de demande de subvention, devront en outre être impérativement renseignés les 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items suivants : 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 Commune(s) concernée(s) ,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 QPV concerné(s),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 Dénomination de l'action,</w:t>
      </w:r>
    </w:p>
    <w:p>
      <w:pPr>
        <w:pStyle w:val="Normal"/>
        <w:spacing w:before="0" w:after="0"/>
        <w:rPr/>
      </w:pPr>
      <w:r>
        <w:rPr>
          <w:rFonts w:ascii="Marianne" w:hAnsi="Marianne"/>
          <w:sz w:val="20"/>
          <w:szCs w:val="20"/>
        </w:rPr>
        <w:t>- Public cible (jeunes, adultes, familles, seniors),</w:t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- thématique (sport, culture, séjours, Europe, continuité éducative, esprit critique, soutien à la 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parentalité, santé, nature en ville, insertion professionnelle, entrepreneuriat, argent de poche, 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numérique, mobilité, interquartier/intergénérationnel, participation citoyenne, liens population-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institutions) 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 Objectif(s),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 Nombre de bénéficiaires potentiels (prévisionnel). Les actions financées doivent bénéficier aux habitants des quartiers prioritaires de la ville (QPV). Le nombre de bénéficiaires résidant en QPV doit donc apparaître explicitement à la fin de la description de l’action.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porteurs de projets retenus devront rendre compte, dans le logiciel DAUPHIN, des actions menées une fois celles-ci terminées mais aussi assurer un reporting mensuel de celles-ci dans le tableau de reporting joint en annexe.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porteurs de projets peuvent être accompagnés, sur le plan technique, dans la saisie de leur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dossier sur le Portail DAUPHIN par une cellule d’aide, qui est à la disposition des porteurs :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 par téléphone du lundi au vendredi de 08h30 à 18h00 au 09 70 81 86 94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 par mail : support147@proservia.fr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 en ligne via « Nous Contacter » sur la page d’Accueil de l’Espace Usagers :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https://usager-dauphin.cget.gouv.fr/aides/#/cget/contact-page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Marianne" w:hAnsi="Marianne"/>
          <w:b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COMMUNICATION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En termes de communication, l’information devra être diffusée de manière à parvenir jusqu’aux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habitants des quartiers : affichages, flyers, communiqués de presse, site internet, intermédiation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orale.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actions déployées sur le terrain doivent obligatoirement être clairement identifiées comme</w:t>
      </w:r>
    </w:p>
    <w:p>
      <w:pPr>
        <w:pStyle w:val="Normal"/>
        <w:spacing w:before="0"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étant labellisées « Quartiers d’été 2021 » et incarnant la mobilisation de l’État dans les quartiers</w:t>
      </w:r>
    </w:p>
    <w:p>
      <w:pPr>
        <w:pStyle w:val="Normal"/>
        <w:spacing w:before="0" w:after="0"/>
        <w:jc w:val="both"/>
        <w:rPr/>
      </w:pPr>
      <w:r>
        <w:rPr>
          <w:rFonts w:ascii="Marianne" w:hAnsi="Marianne"/>
          <w:b/>
          <w:bCs/>
          <w:sz w:val="20"/>
          <w:szCs w:val="20"/>
          <w:u w:val="none"/>
        </w:rPr>
        <w:t>prioritaires. Un kit de communication sera transmis à cet effet (logo « Quartiers d’Été »).</w:t>
      </w:r>
    </w:p>
    <w:p>
      <w:pPr>
        <w:pStyle w:val="Normal"/>
        <w:spacing w:before="0" w:after="160"/>
        <w:jc w:val="both"/>
        <w:rPr>
          <w:rFonts w:ascii="Marianne" w:hAnsi="Marianne"/>
          <w:b w:val="false"/>
          <w:b w:val="false"/>
          <w:bCs w:val="false"/>
          <w:sz w:val="20"/>
          <w:szCs w:val="20"/>
          <w:u w:val="none"/>
        </w:rPr>
      </w:pPr>
      <w:r>
        <w:rPr>
          <w:rFonts w:ascii="Marianne" w:hAnsi="Marianne"/>
          <w:b w:val="false"/>
          <w:bCs w:val="false"/>
          <w:sz w:val="20"/>
          <w:szCs w:val="20"/>
          <w:u w:val="none"/>
        </w:rPr>
      </w:r>
    </w:p>
    <w:p>
      <w:pPr>
        <w:pStyle w:val="Normal"/>
        <w:spacing w:before="0" w:after="1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964" w:right="964" w:header="0" w:top="964" w:footer="227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 Medium">
    <w:charset w:val="00"/>
    <w:family w:val="roman"/>
    <w:pitch w:val="variable"/>
  </w:font>
  <w:font w:name="Marianne Light">
    <w:charset w:val="00"/>
    <w:family w:val="roman"/>
    <w:pitch w:val="variable"/>
  </w:font>
  <w:font w:name="serif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firstLine="708"/>
      <w:rPr/>
    </w:pPr>
    <w:r>
      <w:drawing>
        <wp:anchor behindDoc="1" distT="0" distB="0" distL="114300" distR="114300" simplePos="0" locked="0" layoutInCell="1" allowOverlap="1" relativeHeight="10">
          <wp:simplePos x="0" y="0"/>
          <wp:positionH relativeFrom="column">
            <wp:posOffset>-50165</wp:posOffset>
          </wp:positionH>
          <wp:positionV relativeFrom="paragraph">
            <wp:posOffset>-38100</wp:posOffset>
          </wp:positionV>
          <wp:extent cx="476250" cy="670560"/>
          <wp:effectExtent l="0" t="0" r="0" b="0"/>
          <wp:wrapNone/>
          <wp:docPr id="4" name="Image 4" descr="C:\Users\CABITENSO\Desktop\PREF_Alpes_de_Haute_Provenc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C:\Users\CABITENSO\Desktop\PREF_Alpes_de_Haute_Provence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rianne Light" w:hAnsi="Marianne Light"/>
        <w:sz w:val="16"/>
        <w:szCs w:val="16"/>
      </w:rPr>
      <w:t>P</w:t>
    </w:r>
    <w:r>
      <w:rPr>
        <w:rFonts w:ascii="Marianne Light" w:hAnsi="Marianne Light"/>
        <w:sz w:val="16"/>
        <w:szCs w:val="16"/>
      </w:rPr>
      <w:t>réfecture des Alpes-de-Haute-Provence</w:t>
      <w:tab/>
      <w:t xml:space="preserve">                            Affaire suivie par</w:t>
    </w:r>
    <w:r>
      <w:rPr>
        <w:rFonts w:cs="Calibri"/>
        <w:sz w:val="16"/>
        <w:szCs w:val="16"/>
      </w:rPr>
      <w:t> </w:t>
    </w:r>
    <w:r>
      <w:rPr>
        <w:rFonts w:ascii="Marianne Light" w:hAnsi="Marianne Light"/>
        <w:sz w:val="16"/>
        <w:szCs w:val="16"/>
      </w:rPr>
      <w:t xml:space="preserve">: Claude WRZYSZCZ </w:t>
      <w:br/>
      <w:t xml:space="preserve">                8, Rue du Docteur ROMIEU</w:t>
      <w:tab/>
      <w:t xml:space="preserve">                                                     Tél</w:t>
    </w:r>
    <w:r>
      <w:rPr>
        <w:rFonts w:cs="Calibri"/>
        <w:sz w:val="16"/>
        <w:szCs w:val="16"/>
      </w:rPr>
      <w:t> </w:t>
    </w:r>
    <w:r>
      <w:rPr>
        <w:rFonts w:ascii="Marianne Light" w:hAnsi="Marianne Light"/>
        <w:sz w:val="16"/>
        <w:szCs w:val="16"/>
      </w:rPr>
      <w:t>: 04 92 36 73 76</w:t>
    </w:r>
  </w:p>
  <w:p>
    <w:pPr>
      <w:pStyle w:val="Pieddepage"/>
      <w:rPr>
        <w:rFonts w:ascii="Marianne Light" w:hAnsi="Marianne Light"/>
        <w:sz w:val="18"/>
        <w:szCs w:val="18"/>
      </w:rPr>
    </w:pPr>
    <w:r>
      <w:rPr>
        <w:rFonts w:ascii="Marianne Light" w:hAnsi="Marianne Light"/>
        <w:sz w:val="16"/>
        <w:szCs w:val="16"/>
      </w:rPr>
      <w:t xml:space="preserve">                </w:t>
    </w:r>
    <w:r>
      <w:rPr>
        <w:rFonts w:ascii="Marianne Light" w:hAnsi="Marianne Light"/>
        <w:sz w:val="16"/>
        <w:szCs w:val="16"/>
      </w:rPr>
      <w:t>04016 DIGNE-LES-BAINS CEDEX</w:t>
      <w:tab/>
      <w:t xml:space="preserve">                                             Mel</w:t>
    </w:r>
    <w:r>
      <w:rPr>
        <w:rFonts w:cs="Calibri"/>
        <w:sz w:val="16"/>
        <w:szCs w:val="16"/>
      </w:rPr>
      <w:t> </w:t>
    </w:r>
    <w:r>
      <w:rPr>
        <w:rFonts w:ascii="Marianne Light" w:hAnsi="Marianne Light"/>
        <w:sz w:val="16"/>
        <w:szCs w:val="16"/>
      </w:rPr>
      <w:t>: claude.wrzyszcz@alpes-de-haute-provence.gouv.fr</w:t>
    </w:r>
    <w:r>
      <w:rPr>
        <w:rFonts w:ascii="Marianne Light" w:hAnsi="Marianne Light"/>
        <w:sz w:val="18"/>
        <w:szCs w:val="18"/>
      </w:rPr>
      <w:tab/>
    </w:r>
  </w:p>
  <w:p>
    <w:pPr>
      <w:pStyle w:val="Pieddepage"/>
      <w:rPr>
        <w:rFonts w:ascii="Marianne Light" w:hAnsi="Marianne Light"/>
        <w:sz w:val="14"/>
        <w:szCs w:val="14"/>
      </w:rPr>
    </w:pPr>
    <w:r>
      <w:rPr>
        <w:rFonts w:ascii="Marianne Light" w:hAnsi="Marianne Light"/>
        <w:sz w:val="18"/>
        <w:szCs w:val="18"/>
      </w:rPr>
      <w:t xml:space="preserve">             </w:t>
    </w:r>
    <w:r>
      <w:rPr>
        <w:rFonts w:ascii="Marianne Light" w:hAnsi="Marianne Light"/>
        <w:sz w:val="14"/>
        <w:szCs w:val="14"/>
      </w:rPr>
      <w:t xml:space="preserve"> </w:t>
    </w:r>
    <w:r>
      <w:rPr>
        <w:rFonts w:ascii="Marianne Light" w:hAnsi="Marianne Light"/>
        <w:sz w:val="14"/>
        <w:szCs w:val="14"/>
      </w:rPr>
      <w:t>Immatriculation, permis de conduire, carte nationale d’identité, passeport – Informations au 3400 (coût d’un appel local)</w:t>
    </w:r>
  </w:p>
  <w:p>
    <w:pPr>
      <w:pStyle w:val="Pieddepage"/>
      <w:rPr>
        <w:rFonts w:ascii="Marianne Light" w:hAnsi="Marianne Light"/>
        <w:sz w:val="14"/>
        <w:szCs w:val="14"/>
      </w:rPr>
    </w:pPr>
    <w:r>
      <w:drawing>
        <wp:anchor behindDoc="1" distT="0" distB="1905" distL="114300" distR="114300" simplePos="0" locked="0" layoutInCell="1" allowOverlap="1" relativeHeight="4">
          <wp:simplePos x="0" y="0"/>
          <wp:positionH relativeFrom="column">
            <wp:posOffset>2712085</wp:posOffset>
          </wp:positionH>
          <wp:positionV relativeFrom="paragraph">
            <wp:posOffset>76200</wp:posOffset>
          </wp:positionV>
          <wp:extent cx="228600" cy="207645"/>
          <wp:effectExtent l="0" t="0" r="0" b="0"/>
          <wp:wrapNone/>
          <wp:docPr id="5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3893185</wp:posOffset>
          </wp:positionH>
          <wp:positionV relativeFrom="paragraph">
            <wp:posOffset>74295</wp:posOffset>
          </wp:positionV>
          <wp:extent cx="152400" cy="152400"/>
          <wp:effectExtent l="0" t="0" r="0" b="0"/>
          <wp:wrapNone/>
          <wp:docPr id="6" name="Imag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rianne Light" w:hAnsi="Marianne Light"/>
        <w:sz w:val="14"/>
        <w:szCs w:val="14"/>
      </w:rPr>
      <w:t xml:space="preserve"> </w:t>
    </w:r>
    <w:r>
      <w:rPr>
        <w:rFonts w:ascii="Marianne Light" w:hAnsi="Marianne Light"/>
        <w:sz w:val="14"/>
        <w:szCs w:val="14"/>
      </w:rPr>
      <w:t xml:space="preserve">                 </w:t>
    </w:r>
    <w:r>
      <w:rPr>
        <w:rFonts w:ascii="Marianne Light" w:hAnsi="Marianne Light"/>
        <w:sz w:val="14"/>
        <w:szCs w:val="14"/>
      </w:rPr>
      <w:t>Accès aux points d’accueil numérique du lundi au vendredi de 8h30 à 11h30</w:t>
    </w:r>
  </w:p>
  <w:p>
    <w:pPr>
      <w:pStyle w:val="Pieddepage"/>
      <w:rPr/>
    </w:pPr>
    <w:r>
      <w:rPr>
        <w:rFonts w:ascii="Marianne Light" w:hAnsi="Marianne Light"/>
        <w:sz w:val="14"/>
        <w:szCs w:val="14"/>
      </w:rPr>
      <w:t xml:space="preserve">                  </w:t>
    </w:r>
    <w:hyperlink r:id="rId4">
      <w:r>
        <w:rPr>
          <w:rStyle w:val="LienInternet"/>
          <w:rFonts w:ascii="Marianne Light" w:hAnsi="Marianne Light"/>
          <w:sz w:val="14"/>
          <w:szCs w:val="14"/>
        </w:rPr>
        <w:t>http://www.alpes-de-haute-provence.gouv.fr</w:t>
      </w:r>
    </w:hyperlink>
    <w:r>
      <w:rPr>
        <w:rFonts w:ascii="Marianne Light" w:hAnsi="Marianne Light"/>
        <w:sz w:val="14"/>
        <w:szCs w:val="14"/>
      </w:rPr>
      <w:t xml:space="preserve"> – Twitter</w:t>
    </w:r>
    <w:r>
      <w:rPr>
        <w:lang w:eastAsia="fr-FR"/>
      </w:rPr>
      <w:t xml:space="preserve"> </w:t>
    </w:r>
    <w:r>
      <w:rPr>
        <w:rFonts w:ascii="Marianne Light" w:hAnsi="Marianne Light"/>
        <w:sz w:val="14"/>
        <w:szCs w:val="14"/>
      </w:rPr>
      <w:t xml:space="preserve">      @prefet04 – Facebook       @Préfet-des-Alpes-de-Haute-Provence</w:t>
    </w:r>
  </w:p>
  <w:p>
    <w:pPr>
      <w:pStyle w:val="Pieddepage"/>
      <w:rPr>
        <w:rFonts w:ascii="Marianne Light" w:hAnsi="Marianne Light"/>
        <w:sz w:val="14"/>
        <w:szCs w:val="14"/>
      </w:rPr>
    </w:pPr>
    <w:r>
      <w:rPr>
        <w:rFonts w:ascii="Marianne Light" w:hAnsi="Marianne Light"/>
        <w:sz w:val="14"/>
        <w:szCs w:val="14"/>
      </w:rPr>
    </w:r>
  </w:p>
  <w:p>
    <w:pPr>
      <w:pStyle w:val="Pieddepage"/>
      <w:rPr>
        <w:rFonts w:ascii="Marianne Light" w:hAnsi="Marianne Light"/>
        <w:sz w:val="18"/>
        <w:szCs w:val="18"/>
      </w:rPr>
    </w:pPr>
    <w:r>
      <w:rPr>
        <w:rFonts w:ascii="Marianne Light" w:hAnsi="Marianne Light"/>
        <w:sz w:val="18"/>
        <w:szCs w:val="18"/>
      </w:rPr>
      <w:tab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sz w:val="20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9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c169fc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14a0d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44af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44af3"/>
    <w:rPr/>
  </w:style>
  <w:style w:type="character" w:styleId="CorpsdetexteCar" w:customStyle="1">
    <w:name w:val="Corps de texte Car"/>
    <w:basedOn w:val="DefaultParagraphFont"/>
    <w:link w:val="Corpsdetexte"/>
    <w:qFormat/>
    <w:rsid w:val="00e74350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Marianne" w:hAnsi="Marianne" w:cs="OpenSymbol"/>
      <w:sz w:val="2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Marianne" w:hAnsi="Marianne" w:cs="OpenSymbol"/>
      <w:sz w:val="20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Marianne" w:hAnsi="Marianne" w:cs="OpenSymbol"/>
      <w:sz w:val="20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Marianne" w:hAnsi="Marianne" w:cs="OpenSymbol"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Marianne" w:hAnsi="Marianne" w:cs="OpenSymbol"/>
      <w:sz w:val="20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Marianne" w:hAnsi="Marianne" w:cs="OpenSymbol"/>
      <w:sz w:val="20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Marianne" w:hAnsi="Marianne" w:cs="OpenSymbol"/>
      <w:sz w:val="20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Marianne" w:hAnsi="Marianne" w:cs="OpenSymbol"/>
      <w:sz w:val="20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Marianne" w:hAnsi="Marianne" w:cs="OpenSymbol"/>
      <w:sz w:val="20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Marianne" w:hAnsi="Marianne" w:cs="OpenSymbol"/>
      <w:sz w:val="20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Marianne" w:hAnsi="Marianne"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Marianne" w:hAnsi="Marianne" w:cs="OpenSymbol"/>
      <w:sz w:val="20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sz w:val="20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e74350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14a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344af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44af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hyperlink" Target="http://www.alpes-de-haute-provence.gouv.fr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3</Pages>
  <Words>993</Words>
  <Characters>5614</Characters>
  <CharactersWithSpaces>6774</CharactersWithSpaces>
  <Paragraphs>73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2021-07-26T09:14:49Z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